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D7811" w14:textId="47BE2987" w:rsidR="007E6D4A" w:rsidRDefault="007E6D4A" w:rsidP="00CB201E">
      <w:pPr>
        <w:jc w:val="center"/>
        <w:rPr>
          <w:b/>
          <w:bCs/>
        </w:rPr>
      </w:pPr>
      <w:r>
        <w:rPr>
          <w:b/>
          <w:bCs/>
        </w:rPr>
        <w:t>The Constitutional Law Club</w:t>
      </w:r>
    </w:p>
    <w:p w14:paraId="1CF8EA1E" w14:textId="77499B08" w:rsidR="00CB201E" w:rsidRPr="00CB201E" w:rsidRDefault="00CB201E" w:rsidP="00CB201E">
      <w:pPr>
        <w:jc w:val="center"/>
        <w:rPr>
          <w:b/>
          <w:bCs/>
        </w:rPr>
      </w:pPr>
      <w:r w:rsidRPr="00CB201E">
        <w:rPr>
          <w:b/>
          <w:bCs/>
        </w:rPr>
        <w:t xml:space="preserve">Constitutions, Courts, and the People: Reflections on Transformative Constitutionalism </w:t>
      </w:r>
    </w:p>
    <w:p w14:paraId="662E5AF9" w14:textId="2A12594F" w:rsidR="00CB201E" w:rsidRPr="00CB201E" w:rsidRDefault="00CB201E" w:rsidP="00CB201E">
      <w:pPr>
        <w:jc w:val="center"/>
        <w:rPr>
          <w:b/>
          <w:bCs/>
          <w:i/>
          <w:iCs/>
        </w:rPr>
      </w:pPr>
      <w:r w:rsidRPr="00CB201E">
        <w:rPr>
          <w:b/>
          <w:bCs/>
          <w:i/>
          <w:iCs/>
        </w:rPr>
        <w:t xml:space="preserve">by Mark </w:t>
      </w:r>
      <w:proofErr w:type="spellStart"/>
      <w:r w:rsidRPr="00CB201E">
        <w:rPr>
          <w:b/>
          <w:bCs/>
          <w:i/>
          <w:iCs/>
        </w:rPr>
        <w:t>Tushnet</w:t>
      </w:r>
      <w:proofErr w:type="spellEnd"/>
    </w:p>
    <w:p w14:paraId="53F871AF" w14:textId="05C5F0D8" w:rsidR="00CB201E" w:rsidRPr="00CB201E" w:rsidRDefault="00CB201E" w:rsidP="00CB201E">
      <w:pPr>
        <w:rPr>
          <w:b/>
          <w:bCs/>
        </w:rPr>
      </w:pPr>
      <w:r w:rsidRPr="00CB201E">
        <w:rPr>
          <w:b/>
          <w:bCs/>
        </w:rPr>
        <w:t>Adyasha:</w:t>
      </w:r>
    </w:p>
    <w:p w14:paraId="42E799E7" w14:textId="4507DCAB" w:rsidR="00CB201E" w:rsidRDefault="00CB201E" w:rsidP="00CB201E">
      <w:r>
        <w:t xml:space="preserve">Greetings to one and all. The Constitutional Law Club of National Law University Delhi is delighted to welcome Professor Mark </w:t>
      </w:r>
      <w:proofErr w:type="spellStart"/>
      <w:r>
        <w:t>Tushnet</w:t>
      </w:r>
      <w:proofErr w:type="spellEnd"/>
      <w:r>
        <w:t xml:space="preserve"> to deliver a second expert lecture on the topic </w:t>
      </w:r>
      <w:r>
        <w:rPr>
          <w:i/>
          <w:iCs/>
        </w:rPr>
        <w:t>Constitutions, Courts, and the People: Reflections on Transformative Constitutionalism</w:t>
      </w:r>
      <w:r>
        <w:t xml:space="preserve">. Professor </w:t>
      </w:r>
      <w:proofErr w:type="spellStart"/>
      <w:r>
        <w:t>Tushnet</w:t>
      </w:r>
      <w:proofErr w:type="spellEnd"/>
      <w:r>
        <w:t xml:space="preserve"> is a distinguished American legal scholar who specializes in constitutional law and theory, including comparative constitutional law. He has written extensively in the area of legal and particularly constitutional history and currently holds the position of the William Nelson Cromwell Professor of Law, Emeritus, at Harvard Law School. Professor </w:t>
      </w:r>
      <w:proofErr w:type="spellStart"/>
      <w:r>
        <w:t>Tushnet</w:t>
      </w:r>
      <w:proofErr w:type="spellEnd"/>
      <w:r>
        <w:t>, the floor is yours.</w:t>
      </w:r>
    </w:p>
    <w:p w14:paraId="61F3117C" w14:textId="15CF24D4" w:rsidR="00CB201E" w:rsidRPr="00CB201E" w:rsidRDefault="00CB201E" w:rsidP="00CB201E">
      <w:pPr>
        <w:rPr>
          <w:b/>
          <w:bCs/>
        </w:rPr>
      </w:pPr>
      <w:r w:rsidRPr="00CB201E">
        <w:rPr>
          <w:b/>
          <w:bCs/>
        </w:rPr>
        <w:t xml:space="preserve">Professor Mark </w:t>
      </w:r>
      <w:proofErr w:type="spellStart"/>
      <w:r w:rsidRPr="00CB201E">
        <w:rPr>
          <w:b/>
          <w:bCs/>
        </w:rPr>
        <w:t>Tushnet</w:t>
      </w:r>
      <w:proofErr w:type="spellEnd"/>
      <w:r w:rsidRPr="00CB201E">
        <w:rPr>
          <w:b/>
          <w:bCs/>
        </w:rPr>
        <w:t>:</w:t>
      </w:r>
    </w:p>
    <w:p w14:paraId="33738DEA" w14:textId="214756D2" w:rsidR="00CB201E" w:rsidRDefault="00CB201E" w:rsidP="00CB201E">
      <w:r>
        <w:t>Thank you very much. Good evening to you; it’s good morning for me. I’m happy to have the opportunity to talk with you about the idea of transformative constitutionalism. As I indicated in correspondence, I actually haven’t written specifically about transformative constitutionalism, which I’ll define in just a moment, but I have written about general issues of which questions about transformative constitutionalism are a part. So I’m using this lecture as an opportunity to put together my general thoughts and bring them to bear on the issue of transformative constitutionalism.</w:t>
      </w:r>
    </w:p>
    <w:p w14:paraId="7F3B37FA" w14:textId="48DA8770" w:rsidR="00CB201E" w:rsidRDefault="00CB201E" w:rsidP="00CB201E">
      <w:r>
        <w:t>The term “transformative constitutionalism” was introduced into comparative constitutional studies by my colleague Karl Klare in connection with the South African Constitution. His argument was that in the aftermath of apartheid, South Africa adopted a constitution that committed the nation to dramatic social and economic transformation from what I’ll simply call the status quo.</w:t>
      </w:r>
    </w:p>
    <w:p w14:paraId="1E5FF65D" w14:textId="028AA2AA" w:rsidR="00CB201E" w:rsidRDefault="00CB201E" w:rsidP="00CB201E">
      <w:r>
        <w:t>I want to talk about the content of Klare’s idea and, more generally, transformative constitutionalism. But before doing so, there are a couple of framing remarks. First—and this is where my own thinking comes in—I’ve been focused in some of my writing on what people call programmatic constitutionalism. Programmatic constitutionalism specifies certain goals (social and economic rights, environmental protection, and so on) in addition to what traditional liberal constitutionalism did, which was to provide procedures through which people, via democratic processes, could choose and reach whatever goals they wanted.</w:t>
      </w:r>
    </w:p>
    <w:p w14:paraId="24BE0F93" w14:textId="1B8F1878" w:rsidR="00CB201E" w:rsidRDefault="00CB201E" w:rsidP="00CB201E">
      <w:r>
        <w:t xml:space="preserve">A purely liberal constitution says: we don’t care where you go, we just want to ensure you get there through liberal democratic means. Programmatic constitutions say: we do care where you go. We want social and economic rights. We want indigenous cultures to be preserved. We want the environment to be protected, and so on. You will use democratic procedures to get </w:t>
      </w:r>
      <w:r>
        <w:lastRenderedPageBreak/>
        <w:t>there, and if you don’t attempt to reach these goals, something has gone wrong. What you do if something goes wrong is something I’ll come to in a moment, but the basic idea is that the constitution specifies goals.</w:t>
      </w:r>
    </w:p>
    <w:p w14:paraId="7A8C78B5" w14:textId="0474D5FD" w:rsidR="00CB201E" w:rsidRDefault="00CB201E" w:rsidP="00CB201E">
      <w:r>
        <w:t>Programmatic constitutionalism is inevitable today. Every newly written constitution contains programmatic elements. I’d say the first programmatic constitution was probably the Mexican Constitution of 1917, and ever since then every constitution has included some programmatic goals. Existing constitutions that did not originally have them have typically been interpreted to include them, although the United States is an outlier.</w:t>
      </w:r>
    </w:p>
    <w:p w14:paraId="61DC6833" w14:textId="27D1432A" w:rsidR="00CB201E" w:rsidRDefault="00CB201E" w:rsidP="00CB201E">
      <w:r>
        <w:t>So we have programmatic constitutionalism, of which transformative constitutionalism is a subcategory. There is also transformative politics. Transformative politics occurs when political actors - important political actors - believe the status quo is deeply unsatisfying. That is why it is a transformation, not merely incremental tinkering. The status quo is typically unsatisfying because of inequality, particularly material inequality, although more broadly we can say transformative politics aims at changing a deeply unsatisfying status quo, whatever the nature of the dissatisfaction.</w:t>
      </w:r>
    </w:p>
    <w:p w14:paraId="27662429" w14:textId="220A7A00" w:rsidR="00CB201E" w:rsidRDefault="00CB201E" w:rsidP="00CB201E">
      <w:r>
        <w:t xml:space="preserve">A sensibly understood transformative politics seeks to change a system that is deeply unsatisfying into one that is unsatisfying only in specific respects—problems that can be addressed one at a time—rather than requiring revolutionary change. In a forthcoming book (titled </w:t>
      </w:r>
      <w:r>
        <w:rPr>
          <w:i/>
          <w:iCs/>
        </w:rPr>
        <w:t>Constitutionalism and Its Discontents</w:t>
      </w:r>
      <w:r>
        <w:t xml:space="preserve">, drawn from Sigmund Freud’s </w:t>
      </w:r>
      <w:r>
        <w:rPr>
          <w:i/>
          <w:iCs/>
        </w:rPr>
        <w:t>Civilization and Its Discontents</w:t>
      </w:r>
      <w:r>
        <w:t>), a colleague and I quote Freud: the goal is to convert “deep misery into ordinary unhappiness.” That is also the goal of transformative politics: to transform a deeply unsatisfying system into one that is imperfect in many ways but whose flaws can be worked on incrementally.</w:t>
      </w:r>
    </w:p>
    <w:p w14:paraId="7508594C" w14:textId="06F72061" w:rsidR="00CB201E" w:rsidRDefault="00CB201E" w:rsidP="00CB201E">
      <w:r>
        <w:t>So we have programmatic constitutionalism (with transformative constitutionalism as a subset) and transformative politics (with transformative constitutionalism again as a subset). The latter is what I want to talk about: what is constitutional about transformative constitutionalism? What makes it different from ordinary transformative politics or even revolutionary politics?</w:t>
      </w:r>
    </w:p>
    <w:p w14:paraId="02707E2E" w14:textId="51A1DC90" w:rsidR="00CB201E" w:rsidRDefault="00CB201E" w:rsidP="00CB201E">
      <w:r>
        <w:t>There are a couple of possibilities.</w:t>
      </w:r>
    </w:p>
    <w:p w14:paraId="53C4C17B" w14:textId="49976A69" w:rsidR="00CB201E" w:rsidRDefault="00CB201E" w:rsidP="00CB201E">
      <w:r>
        <w:rPr>
          <w:rStyle w:val="s1"/>
          <w:rFonts w:eastAsiaTheme="majorEastAsia"/>
          <w:b/>
          <w:bCs/>
        </w:rPr>
        <w:t>First</w:t>
      </w:r>
      <w:r>
        <w:t>, transformative constitutionalism may be constitutional because it expresses important national goals. These transformational goals are set out in constitutional preambles or in directive principles of state policy. Preambles typically are not directly enforceable as law; they are the framework within which legal interpretation occurs. Similarly, in the original idea of directive principles—as in the Irish Constitution—these principles were explicitly placed “in the care of the parliament” and expressly not enforceable by courts.</w:t>
      </w:r>
    </w:p>
    <w:p w14:paraId="229686CD" w14:textId="50DA1FC7" w:rsidR="00CB201E" w:rsidRDefault="00CB201E" w:rsidP="00CB201E">
      <w:r>
        <w:t xml:space="preserve">What do they do, then? They provide a rhetoric for political actors and a standard by which the performance of political actors can be measured. If you are not trying to promote the economic </w:t>
      </w:r>
      <w:r>
        <w:lastRenderedPageBreak/>
        <w:t>well-being of families, for example, then you are not behaving in a constitutionally acceptable way, and voters can hold you to account.</w:t>
      </w:r>
    </w:p>
    <w:p w14:paraId="3055012C" w14:textId="38E1289C" w:rsidR="00CB201E" w:rsidRDefault="00CB201E" w:rsidP="00CB201E">
      <w:r>
        <w:t>One question is whether this use of constitutional language is different from ordinary political rhetoric. Consider the contemporary debate in the United States: is access to food a fundamental human right, or is it something all Americans are entitled to? When you tie a goal to the nation, it becomes constitutional in a way that differs from tying it to universal human rights or to ordinary good public policy. To what extent constitutional rhetoric adds something beyond normal political rhetoric is an empirical question.</w:t>
      </w:r>
    </w:p>
    <w:p w14:paraId="46D0CE15" w14:textId="30DFC5CF" w:rsidR="00CB201E" w:rsidRDefault="00CB201E" w:rsidP="00CB201E">
      <w:r>
        <w:t>If politicians talk in the mode of “our nation is committed to these things,” then transformative constitutionalism as political rhetoric is doing work. But you’d have to look closely at how politicians talk.</w:t>
      </w:r>
    </w:p>
    <w:p w14:paraId="464E518E" w14:textId="13B46793" w:rsidR="00CB201E" w:rsidRDefault="00CB201E" w:rsidP="00CB201E">
      <w:r>
        <w:rPr>
          <w:rStyle w:val="s1"/>
          <w:rFonts w:eastAsiaTheme="majorEastAsia"/>
          <w:b/>
          <w:bCs/>
        </w:rPr>
        <w:t>The second version</w:t>
      </w:r>
      <w:r>
        <w:t xml:space="preserve"> is the one that arises most naturally: the transformational elements of constitutions are judicially enforceable. The general course of development has been from transformative constitutionalism as rhetoric to judicially enforceable provisions. The most notable example, to me, is India’s transformation of clearly non-justiciable directive principles into judicially enforceable rights through the expansive interpretation of the right to life. It’s a nice illustration of how the push toward judicial enforcement tends to dominate constitutional thought.</w:t>
      </w:r>
    </w:p>
    <w:p w14:paraId="7C82B3F4" w14:textId="21992915" w:rsidR="00CB201E" w:rsidRDefault="00CB201E" w:rsidP="00CB201E">
      <w:r>
        <w:t>There are two forms of judicial enforcement I want to identify.</w:t>
      </w:r>
    </w:p>
    <w:p w14:paraId="26C9BA68" w14:textId="0AF62FEC" w:rsidR="00CB201E" w:rsidRDefault="00CB201E" w:rsidP="00CB201E">
      <w:r>
        <w:rPr>
          <w:rStyle w:val="s1"/>
          <w:rFonts w:eastAsiaTheme="majorEastAsia"/>
          <w:b/>
          <w:bCs/>
        </w:rPr>
        <w:t>First</w:t>
      </w:r>
      <w:r>
        <w:t xml:space="preserve">, what I’ll call collaborative enforcement, borrowing a term from Aileen Kavanagh’s recent book </w:t>
      </w:r>
      <w:r>
        <w:rPr>
          <w:i/>
          <w:iCs/>
        </w:rPr>
        <w:t>The Collaborative Constitution</w:t>
      </w:r>
      <w:r>
        <w:t>. This is a version of judicial enforcement where courts collaborate with the political branches.</w:t>
      </w:r>
    </w:p>
    <w:p w14:paraId="51161712" w14:textId="58F8BC2A" w:rsidR="00CB201E" w:rsidRDefault="00CB201E" w:rsidP="00CB201E">
      <w:r>
        <w:t>Courts can use transformative provisions to bolster legislative action. Clear examples come from South Africa and Ireland. Legislatures adopted programs to promote housing for the unhoused. Some programs involved taking over abandoned or underutilized property whose owners were holding it off the market. Owners challenged this as an unconstitutional taking. The courts in both countries pointed to either the enforceable right to housing (South Africa) or the directive principle on housing (Ireland) to uphold the legislation.</w:t>
      </w:r>
    </w:p>
    <w:p w14:paraId="5F2FF92E" w14:textId="0BC9D4E3" w:rsidR="00CB201E" w:rsidRDefault="00CB201E" w:rsidP="00CB201E">
      <w:r>
        <w:t>Courts may also bolster expansive executive interpretations of statutes related to housing, again reasoning that such interpretations are permissible in light of transformative constitutional commitments.</w:t>
      </w:r>
    </w:p>
    <w:p w14:paraId="4DF8DA48" w14:textId="0C8347C6" w:rsidR="00CB201E" w:rsidRDefault="00CB201E" w:rsidP="00CB201E">
      <w:r>
        <w:rPr>
          <w:rStyle w:val="s1"/>
          <w:rFonts w:eastAsiaTheme="majorEastAsia"/>
          <w:b/>
          <w:bCs/>
        </w:rPr>
        <w:t>Second</w:t>
      </w:r>
      <w:r>
        <w:t>, there is direct judicial enforcement of transformative provisions—something Indian students will be very familiar with from the jurisprudence expanding Article 21.</w:t>
      </w:r>
    </w:p>
    <w:p w14:paraId="0E1974C0" w14:textId="79863B8E" w:rsidR="00CB201E" w:rsidRDefault="00CB201E" w:rsidP="00CB201E">
      <w:r>
        <w:t>This raises several questions about whether direct enforcement is a good idea, even for those who support transformation. I want to offer a number of sceptical observations. These are cautions, not conclusive arguments.</w:t>
      </w:r>
    </w:p>
    <w:p w14:paraId="093571D3" w14:textId="2DA7B7D7" w:rsidR="00CB201E" w:rsidRDefault="00CB201E" w:rsidP="00CB201E">
      <w:r>
        <w:lastRenderedPageBreak/>
        <w:t>First, when trying to transform a deeply unsatisfying status quo, both the goals (greater material equality) and the means are complicated. How much material inequality reduction is desirable? Rawls argued for some inequality to preserve incentives. Determining what level is appropriate is complex.</w:t>
      </w:r>
    </w:p>
    <w:p w14:paraId="0CF0EFB5" w14:textId="16447352" w:rsidR="00CB201E" w:rsidRDefault="00CB201E" w:rsidP="00CB201E">
      <w:r>
        <w:t>Even more complicated is determining how to get there. Should a state rely primarily on social provision or on market mechanisms? Libertarian economists argue that free markets reduce inequality by increasing overall wealth. Jeff King argues the opposite: market mechanisms increase inequality and that redistribution best reduces it.</w:t>
      </w:r>
    </w:p>
    <w:p w14:paraId="3E63C140" w14:textId="5B08DDD0" w:rsidR="00CB201E" w:rsidRDefault="00CB201E" w:rsidP="00CB201E">
      <w:r>
        <w:t>Both positions are coherent. Both are defensible approaches to reducing inequality. Courts are not well equipped to choose between them. These are, using Lon Fuller’s term, polycentric problems involving many moving parts.</w:t>
      </w:r>
    </w:p>
    <w:p w14:paraId="66D88505" w14:textId="7E326A45" w:rsidR="00CB201E" w:rsidRDefault="00CB201E" w:rsidP="00CB201E">
      <w:r>
        <w:t xml:space="preserve">Courts </w:t>
      </w:r>
      <w:r>
        <w:rPr>
          <w:i/>
          <w:iCs/>
        </w:rPr>
        <w:t>can</w:t>
      </w:r>
      <w:r>
        <w:t xml:space="preserve"> handle some polycentric problems with creativity—there is evidence of success in right-to-medication cases in Latin America—but doing so requires techniques (monitoring bodies, ongoing supervision) that many see as beyond traditional judicial propriety.</w:t>
      </w:r>
    </w:p>
    <w:p w14:paraId="49AD58D0" w14:textId="6F23E6FA" w:rsidR="00CB201E" w:rsidRDefault="00CB201E" w:rsidP="00CB201E">
      <w:r>
        <w:t>Moreover, if courts absorb too much policymaking power, democratic concerns arise. Still, if politics is deeply defective, judicial intervention may be better than nothing. Brazil is an example: its legislature has been extremely ineffective, leaving the president and the Supreme Court to do much of the governance. That may not be ideal for democracy, but it may be better than paralysis.</w:t>
      </w:r>
    </w:p>
    <w:p w14:paraId="006B2D41" w14:textId="2F0D96ED" w:rsidR="00CB201E" w:rsidRDefault="00CB201E" w:rsidP="00CB201E">
      <w:r>
        <w:t>However, courts cannot be counted on to be permanently transformative. Appointment processes shift, professional judicial norms encourage caution, and many judges resist expansive policymaking roles.</w:t>
      </w:r>
    </w:p>
    <w:p w14:paraId="2AB3CB5D" w14:textId="77777777" w:rsidR="00CB201E" w:rsidRDefault="00CB201E" w:rsidP="00CB201E">
      <w:r>
        <w:t>A second complexity is interconnection—Fuller’s “spiderweb” metaphor. Actions in one area affect others. For example, in a Latin American case, a single order requiring the state to provide an extremely expensive medication consumed two-thirds of an entire health ministry budget, leaving little for others.</w:t>
      </w:r>
    </w:p>
    <w:p w14:paraId="0051B5B0" w14:textId="115D3FA0" w:rsidR="00CB201E" w:rsidRDefault="00CB201E" w:rsidP="00CB201E">
      <w:r>
        <w:t>Another recurring conflict involves social and economic rights, environmental protection, and indigenous rights. In Ecuador, the government argued that mining in indigenous regions was necessary to fund social programs. This pits one constitutional goal against another. Courts are clumsy at balancing such competing programmatic goals. Ordinary politics, supported by transformative rhetoric, may be a better forum—unless politics is deeply corrupt, in which case courts may again be the lesser evil.</w:t>
      </w:r>
    </w:p>
    <w:p w14:paraId="1EF431A2" w14:textId="34328677" w:rsidR="00393E5B" w:rsidRDefault="00CB201E" w:rsidP="00CB201E">
      <w:r>
        <w:t xml:space="preserve">To wrap up, I have offered several cautions—not conclusions—about transformative constitutionalism when understood as something courts directly enforce. Reduction of material inequality appears to correlate primarily with substantial economic growth. Constitutions have very little to do with major reductions in inequality. Courts may do best by staying out of the </w:t>
      </w:r>
      <w:r>
        <w:lastRenderedPageBreak/>
        <w:t>way of political branches and letting them pursue growth strategies, subject to democratic accountability.</w:t>
      </w:r>
    </w:p>
    <w:sectPr w:rsidR="00393E5B" w:rsidSect="00944DD9">
      <w:footerReference w:type="even" r:id="rId6"/>
      <w:footerReference w:type="default" r:id="rId7"/>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8665D" w14:textId="77777777" w:rsidR="00A75A9B" w:rsidRDefault="00A75A9B" w:rsidP="00CB201E">
      <w:pPr>
        <w:spacing w:before="0" w:after="0" w:line="240" w:lineRule="auto"/>
      </w:pPr>
      <w:r>
        <w:separator/>
      </w:r>
    </w:p>
  </w:endnote>
  <w:endnote w:type="continuationSeparator" w:id="0">
    <w:p w14:paraId="3BF706C2" w14:textId="77777777" w:rsidR="00A75A9B" w:rsidRDefault="00A75A9B" w:rsidP="00CB20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2048719"/>
      <w:docPartObj>
        <w:docPartGallery w:val="Page Numbers (Bottom of Page)"/>
        <w:docPartUnique/>
      </w:docPartObj>
    </w:sdtPr>
    <w:sdtEndPr>
      <w:rPr>
        <w:rStyle w:val="PageNumber"/>
        <w:b/>
        <w:bCs/>
      </w:rPr>
    </w:sdtEndPr>
    <w:sdtContent>
      <w:p w14:paraId="1A731714" w14:textId="157E2A2B" w:rsidR="00CB201E" w:rsidRPr="00CB201E" w:rsidRDefault="00CB201E" w:rsidP="00286419">
        <w:pPr>
          <w:pStyle w:val="Footer"/>
          <w:framePr w:wrap="none" w:vAnchor="text" w:hAnchor="margin" w:xAlign="center" w:y="1"/>
          <w:rPr>
            <w:rStyle w:val="PageNumber"/>
            <w:b/>
            <w:bCs/>
          </w:rPr>
        </w:pPr>
        <w:r w:rsidRPr="00CB201E">
          <w:rPr>
            <w:rStyle w:val="PageNumber"/>
            <w:b/>
            <w:bCs/>
          </w:rPr>
          <w:fldChar w:fldCharType="begin"/>
        </w:r>
        <w:r w:rsidRPr="00CB201E">
          <w:rPr>
            <w:rStyle w:val="PageNumber"/>
            <w:b/>
            <w:bCs/>
          </w:rPr>
          <w:instrText xml:space="preserve"> PAGE </w:instrText>
        </w:r>
        <w:r w:rsidRPr="00CB201E">
          <w:rPr>
            <w:rStyle w:val="PageNumber"/>
            <w:b/>
            <w:bCs/>
          </w:rPr>
          <w:fldChar w:fldCharType="separate"/>
        </w:r>
        <w:r w:rsidRPr="00CB201E">
          <w:rPr>
            <w:rStyle w:val="PageNumber"/>
            <w:b/>
            <w:bCs/>
            <w:noProof/>
          </w:rPr>
          <w:t>4</w:t>
        </w:r>
        <w:r w:rsidRPr="00CB201E">
          <w:rPr>
            <w:rStyle w:val="PageNumber"/>
            <w:b/>
            <w:bCs/>
          </w:rPr>
          <w:fldChar w:fldCharType="end"/>
        </w:r>
      </w:p>
    </w:sdtContent>
  </w:sdt>
  <w:p w14:paraId="1F348084" w14:textId="77777777" w:rsidR="00CB201E" w:rsidRPr="00CB201E" w:rsidRDefault="00CB201E">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8200141"/>
      <w:docPartObj>
        <w:docPartGallery w:val="Page Numbers (Bottom of Page)"/>
        <w:docPartUnique/>
      </w:docPartObj>
    </w:sdtPr>
    <w:sdtContent>
      <w:p w14:paraId="242469DF" w14:textId="718E4E8E" w:rsidR="00CB201E" w:rsidRDefault="00CB201E" w:rsidP="002864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AED1C40" w14:textId="77777777" w:rsidR="00CB201E" w:rsidRDefault="00CB2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5A840" w14:textId="77777777" w:rsidR="00A75A9B" w:rsidRDefault="00A75A9B" w:rsidP="00CB201E">
      <w:pPr>
        <w:spacing w:before="0" w:after="0" w:line="240" w:lineRule="auto"/>
      </w:pPr>
      <w:r>
        <w:separator/>
      </w:r>
    </w:p>
  </w:footnote>
  <w:footnote w:type="continuationSeparator" w:id="0">
    <w:p w14:paraId="481DA9F8" w14:textId="77777777" w:rsidR="00A75A9B" w:rsidRDefault="00A75A9B" w:rsidP="00CB201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2"/>
  <w:mirrorMargins/>
  <w:proofState w:spelling="clean"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1E"/>
    <w:rsid w:val="000072CA"/>
    <w:rsid w:val="00094FF4"/>
    <w:rsid w:val="0029429C"/>
    <w:rsid w:val="00393E5B"/>
    <w:rsid w:val="003B1DA8"/>
    <w:rsid w:val="003E46B5"/>
    <w:rsid w:val="00416E9B"/>
    <w:rsid w:val="004315D6"/>
    <w:rsid w:val="00483C32"/>
    <w:rsid w:val="004D2050"/>
    <w:rsid w:val="005918A9"/>
    <w:rsid w:val="00591ECC"/>
    <w:rsid w:val="006653FE"/>
    <w:rsid w:val="00675557"/>
    <w:rsid w:val="00720BED"/>
    <w:rsid w:val="00727991"/>
    <w:rsid w:val="00754D28"/>
    <w:rsid w:val="007A17D6"/>
    <w:rsid w:val="007E6D4A"/>
    <w:rsid w:val="00840D9E"/>
    <w:rsid w:val="00884D28"/>
    <w:rsid w:val="008953A6"/>
    <w:rsid w:val="0094013F"/>
    <w:rsid w:val="00944DD9"/>
    <w:rsid w:val="00962E69"/>
    <w:rsid w:val="0096573A"/>
    <w:rsid w:val="00A70FD9"/>
    <w:rsid w:val="00A75A9B"/>
    <w:rsid w:val="00AB4D84"/>
    <w:rsid w:val="00AB78D7"/>
    <w:rsid w:val="00B01DED"/>
    <w:rsid w:val="00B645B8"/>
    <w:rsid w:val="00BA7457"/>
    <w:rsid w:val="00BD59B6"/>
    <w:rsid w:val="00CB201E"/>
    <w:rsid w:val="00CC7B8A"/>
    <w:rsid w:val="00CE087C"/>
    <w:rsid w:val="00D66884"/>
    <w:rsid w:val="00D97510"/>
    <w:rsid w:val="00DA0E3B"/>
    <w:rsid w:val="00E53360"/>
    <w:rsid w:val="00E53CBC"/>
    <w:rsid w:val="00F053B6"/>
    <w:rsid w:val="00F720F3"/>
    <w:rsid w:val="00FC4D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17D2991"/>
  <w15:chartTrackingRefBased/>
  <w15:docId w15:val="{3764CFF2-5E18-664E-9C04-89C9E212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01E"/>
    <w:pPr>
      <w:spacing w:before="100" w:beforeAutospacing="1" w:after="100" w:afterAutospacing="1" w:line="276" w:lineRule="auto"/>
      <w:jc w:val="both"/>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B2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0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0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0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0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0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0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0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01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B201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CB201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B201E"/>
    <w:rPr>
      <w:rFonts w:eastAsiaTheme="majorEastAsia" w:cstheme="majorBidi"/>
      <w:i/>
      <w:iCs/>
      <w:color w:val="0F4761" w:themeColor="accent1" w:themeShade="BF"/>
      <w:sz w:val="22"/>
      <w:lang w:val="en-GB"/>
    </w:rPr>
  </w:style>
  <w:style w:type="character" w:customStyle="1" w:styleId="Heading5Char">
    <w:name w:val="Heading 5 Char"/>
    <w:basedOn w:val="DefaultParagraphFont"/>
    <w:link w:val="Heading5"/>
    <w:uiPriority w:val="9"/>
    <w:semiHidden/>
    <w:rsid w:val="00CB201E"/>
    <w:rPr>
      <w:rFonts w:eastAsiaTheme="majorEastAsia" w:cstheme="majorBidi"/>
      <w:color w:val="0F4761" w:themeColor="accent1" w:themeShade="BF"/>
      <w:sz w:val="22"/>
      <w:lang w:val="en-GB"/>
    </w:rPr>
  </w:style>
  <w:style w:type="character" w:customStyle="1" w:styleId="Heading6Char">
    <w:name w:val="Heading 6 Char"/>
    <w:basedOn w:val="DefaultParagraphFont"/>
    <w:link w:val="Heading6"/>
    <w:uiPriority w:val="9"/>
    <w:semiHidden/>
    <w:rsid w:val="00CB201E"/>
    <w:rPr>
      <w:rFonts w:eastAsiaTheme="majorEastAsia" w:cstheme="majorBidi"/>
      <w:i/>
      <w:iCs/>
      <w:color w:val="595959" w:themeColor="text1" w:themeTint="A6"/>
      <w:sz w:val="22"/>
      <w:lang w:val="en-GB"/>
    </w:rPr>
  </w:style>
  <w:style w:type="character" w:customStyle="1" w:styleId="Heading7Char">
    <w:name w:val="Heading 7 Char"/>
    <w:basedOn w:val="DefaultParagraphFont"/>
    <w:link w:val="Heading7"/>
    <w:uiPriority w:val="9"/>
    <w:semiHidden/>
    <w:rsid w:val="00CB201E"/>
    <w:rPr>
      <w:rFonts w:eastAsiaTheme="majorEastAsia" w:cstheme="majorBidi"/>
      <w:color w:val="595959" w:themeColor="text1" w:themeTint="A6"/>
      <w:sz w:val="22"/>
      <w:lang w:val="en-GB"/>
    </w:rPr>
  </w:style>
  <w:style w:type="character" w:customStyle="1" w:styleId="Heading8Char">
    <w:name w:val="Heading 8 Char"/>
    <w:basedOn w:val="DefaultParagraphFont"/>
    <w:link w:val="Heading8"/>
    <w:uiPriority w:val="9"/>
    <w:semiHidden/>
    <w:rsid w:val="00CB201E"/>
    <w:rPr>
      <w:rFonts w:eastAsiaTheme="majorEastAsia" w:cstheme="majorBidi"/>
      <w:i/>
      <w:iCs/>
      <w:color w:val="272727" w:themeColor="text1" w:themeTint="D8"/>
      <w:sz w:val="22"/>
      <w:lang w:val="en-GB"/>
    </w:rPr>
  </w:style>
  <w:style w:type="character" w:customStyle="1" w:styleId="Heading9Char">
    <w:name w:val="Heading 9 Char"/>
    <w:basedOn w:val="DefaultParagraphFont"/>
    <w:link w:val="Heading9"/>
    <w:uiPriority w:val="9"/>
    <w:semiHidden/>
    <w:rsid w:val="00CB201E"/>
    <w:rPr>
      <w:rFonts w:eastAsiaTheme="majorEastAsia" w:cstheme="majorBidi"/>
      <w:color w:val="272727" w:themeColor="text1" w:themeTint="D8"/>
      <w:sz w:val="22"/>
      <w:lang w:val="en-GB"/>
    </w:rPr>
  </w:style>
  <w:style w:type="paragraph" w:styleId="Title">
    <w:name w:val="Title"/>
    <w:basedOn w:val="Normal"/>
    <w:next w:val="Normal"/>
    <w:link w:val="TitleChar"/>
    <w:uiPriority w:val="10"/>
    <w:qFormat/>
    <w:rsid w:val="00CB2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01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B20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01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B201E"/>
    <w:pPr>
      <w:spacing w:before="160"/>
      <w:jc w:val="center"/>
    </w:pPr>
    <w:rPr>
      <w:i/>
      <w:iCs/>
      <w:color w:val="404040" w:themeColor="text1" w:themeTint="BF"/>
    </w:rPr>
  </w:style>
  <w:style w:type="character" w:customStyle="1" w:styleId="QuoteChar">
    <w:name w:val="Quote Char"/>
    <w:basedOn w:val="DefaultParagraphFont"/>
    <w:link w:val="Quote"/>
    <w:uiPriority w:val="29"/>
    <w:rsid w:val="00CB201E"/>
    <w:rPr>
      <w:rFonts w:eastAsiaTheme="minorEastAsia"/>
      <w:i/>
      <w:iCs/>
      <w:color w:val="404040" w:themeColor="text1" w:themeTint="BF"/>
      <w:sz w:val="22"/>
      <w:lang w:val="en-GB"/>
    </w:rPr>
  </w:style>
  <w:style w:type="paragraph" w:styleId="ListParagraph">
    <w:name w:val="List Paragraph"/>
    <w:basedOn w:val="Normal"/>
    <w:uiPriority w:val="34"/>
    <w:qFormat/>
    <w:rsid w:val="00CB201E"/>
    <w:pPr>
      <w:ind w:left="720"/>
      <w:contextualSpacing/>
    </w:pPr>
  </w:style>
  <w:style w:type="character" w:styleId="IntenseEmphasis">
    <w:name w:val="Intense Emphasis"/>
    <w:basedOn w:val="DefaultParagraphFont"/>
    <w:uiPriority w:val="21"/>
    <w:qFormat/>
    <w:rsid w:val="00CB201E"/>
    <w:rPr>
      <w:i/>
      <w:iCs/>
      <w:color w:val="0F4761" w:themeColor="accent1" w:themeShade="BF"/>
    </w:rPr>
  </w:style>
  <w:style w:type="paragraph" w:styleId="IntenseQuote">
    <w:name w:val="Intense Quote"/>
    <w:basedOn w:val="Normal"/>
    <w:next w:val="Normal"/>
    <w:link w:val="IntenseQuoteChar"/>
    <w:uiPriority w:val="30"/>
    <w:qFormat/>
    <w:rsid w:val="00CB2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01E"/>
    <w:rPr>
      <w:rFonts w:eastAsiaTheme="minorEastAsia"/>
      <w:i/>
      <w:iCs/>
      <w:color w:val="0F4761" w:themeColor="accent1" w:themeShade="BF"/>
      <w:sz w:val="22"/>
      <w:lang w:val="en-GB"/>
    </w:rPr>
  </w:style>
  <w:style w:type="character" w:styleId="IntenseReference">
    <w:name w:val="Intense Reference"/>
    <w:basedOn w:val="DefaultParagraphFont"/>
    <w:uiPriority w:val="32"/>
    <w:qFormat/>
    <w:rsid w:val="00CB201E"/>
    <w:rPr>
      <w:b/>
      <w:bCs/>
      <w:smallCaps/>
      <w:color w:val="0F4761" w:themeColor="accent1" w:themeShade="BF"/>
      <w:spacing w:val="5"/>
    </w:rPr>
  </w:style>
  <w:style w:type="paragraph" w:customStyle="1" w:styleId="p1">
    <w:name w:val="p1"/>
    <w:basedOn w:val="Normal"/>
    <w:rsid w:val="00CB201E"/>
    <w:pPr>
      <w:spacing w:line="240" w:lineRule="auto"/>
    </w:pPr>
  </w:style>
  <w:style w:type="paragraph" w:customStyle="1" w:styleId="p2">
    <w:name w:val="p2"/>
    <w:basedOn w:val="Normal"/>
    <w:rsid w:val="00CB201E"/>
    <w:pPr>
      <w:spacing w:line="240" w:lineRule="auto"/>
    </w:pPr>
  </w:style>
  <w:style w:type="character" w:customStyle="1" w:styleId="s1">
    <w:name w:val="s1"/>
    <w:basedOn w:val="DefaultParagraphFont"/>
    <w:rsid w:val="00CB201E"/>
  </w:style>
  <w:style w:type="paragraph" w:styleId="Header">
    <w:name w:val="header"/>
    <w:basedOn w:val="Normal"/>
    <w:link w:val="HeaderChar"/>
    <w:uiPriority w:val="99"/>
    <w:unhideWhenUsed/>
    <w:rsid w:val="00CB201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B201E"/>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CB201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B201E"/>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CB2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1739</Words>
  <Characters>9951</Characters>
  <Application>Microsoft Office Word</Application>
  <DocSecurity>0</DocSecurity>
  <Lines>142</Lines>
  <Paragraphs>39</Paragraphs>
  <ScaleCrop>false</ScaleCrop>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Praddosh S M</dc:creator>
  <cp:keywords/>
  <dc:description/>
  <cp:lastModifiedBy>Praddosh S M</cp:lastModifiedBy>
  <cp:revision>2</cp:revision>
  <dcterms:created xsi:type="dcterms:W3CDTF">2025-11-14T07:24:00Z</dcterms:created>
  <dcterms:modified xsi:type="dcterms:W3CDTF">2025-11-14T07:53:00Z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4c861ca1e74b51c319dd2b7c80495c3ce5397ac781665a3da2ae61a16eb841fa</vt:lpwstr>
  </property>
</Properties>
</file>