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color w:val="000000"/>
          <w:sz w:val="24"/>
          <w:szCs w:val="24"/>
        </w:rPr>
      </w:pPr>
      <w:bookmarkStart w:colFirst="0" w:colLast="0" w:name="_cm581snvdhff" w:id="0"/>
      <w:bookmarkEnd w:id="0"/>
      <w:r w:rsidDel="00000000" w:rsidR="00000000" w:rsidRPr="00000000">
        <w:rPr>
          <w:rFonts w:ascii="Times New Roman" w:cs="Times New Roman" w:eastAsia="Times New Roman" w:hAnsi="Times New Roman"/>
          <w:color w:val="000000"/>
          <w:sz w:val="24"/>
          <w:szCs w:val="24"/>
          <w:rtl w:val="0"/>
        </w:rPr>
        <w:t xml:space="preserve">Notes on Academic Writing and the Seervai Essay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began with the release of the Seervai Essay Competition call for submissions and the process of approaching an academic essay. The first step is to spend significant time reading about the topic before forming an argument. This year's theme was “A Decade in the Making of the GST: Gateway to a Single National Market or a Challenge to Federalism?”. The first few weeks were devoted entirely to understanding the existing literature, debates, and institutional context surrounding the issue. This stage is important because academic writing requires familiarity with the dominant arguments before presenting one’s own position.</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conceptual discussion involved “Fourth Branch Institutions.” Traditionally, constitutional theory recognises three branches of government: the legislature, the executive, and the judiciary. However, certain institutions operate outside this classical structure while still playing an important role in governance. These are often referred to as fourth branch institutions. Examples include the Election Commission of India and the Comptroller and Auditor General of India. These institutions do not fit neatly into the traditional branches but perform oversight and regulatory functions. Because they interact with political processes, their independence becomes crucial. If they participate too directly in administration or political processes, it may create conflicts of interest.</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writing about such institutions, it is important to clearly define the scope of the paper. Rather than getting lost in extensive theoretical debates about defining a “fourth branch,” the approach taken was to focus on how these institutions function and whether they should be stronger or more independent. The question then becomes what “strength” actually means in institutional terms. Institutions often go through phases where they perform effectively and other phases where they appear weaker or susceptible to political pressure. This led to the argument that instead of simply demanding stronger institutions, it is necessary to examine institutional design and the structural conditions that allow them to function independently.</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observation was that fourth branch institutions often become weak because they operate alongside powerful political institutions. Their independence can rarely be absolute; at best they can secure limited autonomy and provide checks on power. One of the weakest aspects identified in many institutions is institutional morality, meaning the internal ethical commitment to constitutional values. Identifying such gaps and proposing ways to address them can form an important part of an academic argument.</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writing, academic work must always engage with existing literature. A paper should first explain the dominant arguments in the field and then position its own contribution within that debate. Sources must be properly cited, and the author should be willing to engage seriously with opposing viewpoints. This may involve conceding valid points made by others while still developing a distinct argument. The aim is not simply to disagree but to advance the discussion.</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practice is to get the work reviewed by multiple people. Feedback from peers, professors, and even well-known scholars who have written on the topic can significantly improve the quality of the argument. Reaching out to such scholars and engaging with their work is a valuable part of the academic process.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arguments often evolve while writing. It is normal for the direction of the paper to change midway as new insights emerge during research. When this happens, the author should revise the structure to ensure that the final paper remains coherent. Sometimes corrections or shifts in reasoning actually make the argument clearer. Even if a paper was initially written for a competition, the core argument can later be expanded and developed into a publishable academic piece. The essential task is to identify an interesting problem, situate it within the existing scholarship, and develop a clear and well-reasoned argument around it.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